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kretanja najmlađih stanovnika u odabranim gradovima (0–4 godine)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  <w:t xml:space="preserve">Analizu kretanja najmlađih stanovnika u odabranim gradovima i opštinamo jugozapadne Srbije </w:t>
      </w:r>
      <w:r>
        <w:rPr>
          <w:rFonts w:ascii="Asana" w:hAnsi="Asana" w:cs="Asana"/>
          <w:highlight w:val="none"/>
        </w:rPr>
        <w:t xml:space="preserve">zasnivamo na podacima o ukupnom broju stanovnika po popisima kao i o kretanjima broja najmlađijh stanovnika (0-4 godine) po popisima:</w:t>
      </w:r>
      <w:r>
        <w:rPr>
          <w:rFonts w:ascii="Asana" w:hAnsi="Asana" w:cs="Asana"/>
          <w:highlight w:val="none"/>
        </w:rPr>
      </w:r>
      <w:r/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Novi Pazar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Tutin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Sjenica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Nova Varoš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Prijepolje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Priboj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Raška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Kraljevo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Čačak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44020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24662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31980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20170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31328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17989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25837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75657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70032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50189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27963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36033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21848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35568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20784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28008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82454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75485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58777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29959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36950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24770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38925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26147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29856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91579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85439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64326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29444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36622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22740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44022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32548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29367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106153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97924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74000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32779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35570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22523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46902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35200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29475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121622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110801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85249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34631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33681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21812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46525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35951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28747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125772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116808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96260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36160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33769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20149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45671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33658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27791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126364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119378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100410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31155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26392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16638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37059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27133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24678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125488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115337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106720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33053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24083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13507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32214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23514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21498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110196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105612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  <w:t xml:space="preserve">Tabela 1. – Kretanje broja stanovnika po popisima</w:t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8279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  <w:t xml:space="preserve">Grafik 1. – Kretanje broja stanovnika po popisima</w:t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  <w14:ligatures w14:val="none"/>
        </w:rPr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</w:r>
      <w:r>
        <w:rPr>
          <w:rFonts w:ascii="Asana" w:hAnsi="Asana" w:cs="Asana"/>
          <w:highlight w:val="none"/>
        </w:rPr>
      </w:r>
      <w:r/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285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Novi Pazar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Tutin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Sjenica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Nova Varoš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Prijepolje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Priboj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Raška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Kraljevo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Čačak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7766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4310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3505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1751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4208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3087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2084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8483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7766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8457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3899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3010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1488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3780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2624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1689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7028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6885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6861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2623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1946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2147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1385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5697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5069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8271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2833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1766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1967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904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1095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5646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5117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shd w:val="clear" w:color="d9d9d9" w:themeColor="background1" w:themeShade="D9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7828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2679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1477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1639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915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4646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4823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  <w:t xml:space="preserve">Tabela 2. –Kretanje broja najmlađih stanovnika (0-4 godine) u odabranim gradovima i opštinama jugozapadne Srbije</w:t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88050" cy="2822423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2032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988049" cy="2822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92.8pt;height:222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Asana" w:hAnsi="Asana" w:cs="Asana"/>
          <w:highlight w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  <w:t xml:space="preserve">Grafik 2.1. – Kretanje broja stanovnika (0-4 gocdine) u odabranim gradovima po popisima</w:t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</w:pPr>
      <w:r>
        <w:rPr>
          <w:rFonts w:ascii="Asana" w:hAnsi="Asana" w:cs="Asana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26144" cy="3231499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8967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226143" cy="3231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11.5pt;height:254.4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Asana" w:hAnsi="Asana" w:cs="Asana"/>
          <w:highlight w:val="none"/>
          <w14:ligatures w14:val="none"/>
        </w:rPr>
      </w:r>
      <w:r/>
    </w:p>
    <w:p>
      <w:pPr>
        <w:jc w:val="center"/>
        <w:rPr>
          <w:rFonts w:ascii="Asana" w:hAnsi="Asana" w:cs="Asana"/>
          <w:highlight w:val="none"/>
          <w14:ligatures w14:val="none"/>
        </w:rPr>
      </w:pPr>
      <w:r>
        <w:rPr>
          <w:rFonts w:ascii="Asana" w:hAnsi="Asana" w:cs="Asana"/>
          <w:highlight w:val="none"/>
        </w:rPr>
        <w:t xml:space="preserve">Grafik 2.2. – Kretanje broja stanovnika (0-4 gocdine) u odabranim opštinama po popisima</w:t>
      </w:r>
      <w:r/>
    </w:p>
    <w:p>
      <w:pPr>
        <w:jc w:val="center"/>
        <w:rPr>
          <w:highlight w:val="none"/>
          <w14:ligatures w14:val="none"/>
        </w:rPr>
      </w:pPr>
      <w:r>
        <w:rPr>
          <w:rFonts w:ascii="Asana" w:hAnsi="Asana" w:cs="Asana"/>
          <w:highlight w:val="none"/>
        </w:rPr>
      </w:r>
      <w:r>
        <w:rPr>
          <w:rFonts w:ascii="Asana" w:hAnsi="Asana" w:cs="Asana"/>
          <w:highlight w:val="none"/>
        </w:rPr>
      </w:r>
      <w:r/>
    </w:p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 Analiza kretanja najmlađih stanovnika u odabranim gradovima (0–4 godine): Novi Pazar, Kraljevo i Čačak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se fokusira na broj stanovnika starosne grupe 0–4 godine u opštinama Novi Pazar, Kraljevo i Čačak na osnovu podataka iz popisa od 1981. do 2022. godine. Prikazujemo relativne brojeve, indekse, procente promena i posledice koje se 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ogu očekivati u budućnosti.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broja stanovnika 0–4 godine po popisima</w:t>
      </w:r>
      <w:r/>
    </w:p>
    <w:p>
      <w:r>
        <w:t xml:space="preserve">U nastavku je predstavljena tabela s aprikazom broja najmlađih stanovnika odabranih gradova kroz popise:</w:t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13"/>
        <w:gridCol w:w="857"/>
        <w:gridCol w:w="857"/>
        <w:gridCol w:w="857"/>
        <w:gridCol w:w="857"/>
        <w:gridCol w:w="857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</w:t>
            </w:r>
            <w:r/>
          </w:p>
        </w:tc>
      </w:tr>
      <w:tr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7.766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6.861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7.828</w:t>
            </w:r>
            <w:r/>
          </w:p>
        </w:tc>
      </w:tr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5.646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4.646</w:t>
            </w:r>
            <w:r/>
          </w:p>
        </w:tc>
      </w:tr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7.766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6.885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5.069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4.823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Indeksi kretanja broja stanovnika (bazna godina 1981)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ovom delu se bavimo baznim indeksima gde se kao bazna/ onovna vrednost uzima broj najmađih stanovnika u 1981. Godini. Indeksi su računati na sledeći način: 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Indeks kretanja = (Broj u određenom popisu / Broj iz 1981) × 100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63"/>
        <w:gridCol w:w="744"/>
        <w:gridCol w:w="831"/>
        <w:gridCol w:w="744"/>
        <w:gridCol w:w="831"/>
        <w:gridCol w:w="831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108.9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88.4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100.8</w:t>
            </w:r>
            <w:r/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82.8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66.6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54.8</w:t>
            </w:r>
            <w:r/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88.6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65.9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62.1</w:t>
            </w:r>
            <w:r/>
          </w:p>
        </w:tc>
      </w:tr>
    </w:tbl>
    <w:p>
      <w:pPr>
        <w:pStyle w:val="1065"/>
        <w:ind w:left="0" w:right="0" w:firstLine="0"/>
        <w:jc w:val="center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29019" cy="329511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9692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329018" cy="3295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19.6pt;height:259.5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Procenat promene broja stanovnika 0–4 godine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narednom delu je predstavljena promena po popisima to jest intenzitet promene u periodu između popisa. Vezani indeksi prate promenu iz perioda u period i pokazuju dinamiku promene: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Promena (%) =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(Broj u narednom popisu − Broj u prethodnom popisu) / Broj u prethodnom popisu × 100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31"/>
        <w:gridCol w:w="1296"/>
        <w:gridCol w:w="1296"/>
        <w:gridCol w:w="1296"/>
        <w:gridCol w:w="1296"/>
      </w:tblGrid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1981–1991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1991–2002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2002–2011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2011–2022</w:t>
            </w:r>
            <w:r/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+8.9%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-18.8%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+20.5%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-5.4%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-17.2%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-18.9%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-0.9%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-17.7%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-11.3%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-26.4%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+0.9%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-5.7%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Tumačenje podataka i trendovi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Novi Pazar</w:t>
      </w:r>
      <w:r/>
    </w:p>
    <w:p>
      <w:pPr>
        <w:pStyle w:val="1241"/>
        <w:numPr>
          <w:ilvl w:val="0"/>
          <w:numId w:val="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Relativna stabilnost: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Novi Pazar beleži manji pad u broju najmlađih stanovnika u odnosu na Kraljevo i Čačak. Iako je 2002. godine zabeležen pad, u narednom popisu (2011) broj dece se oporavio (+20,5%).</w:t>
      </w:r>
      <w:r/>
    </w:p>
    <w:p>
      <w:pPr>
        <w:pStyle w:val="1241"/>
        <w:numPr>
          <w:ilvl w:val="0"/>
          <w:numId w:val="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Specifična demografija: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Tradicionalno visoka stopa nataliteta i mlađa populacija doprinose relativnoj stabilnosti.</w:t>
      </w:r>
      <w:r/>
    </w:p>
    <w:p>
      <w:pPr>
        <w:pStyle w:val="1241"/>
        <w:numPr>
          <w:ilvl w:val="0"/>
          <w:numId w:val="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poslednjem periodu (2011–2022) broj dece opada (-5,4%), što može ukazivati na početak stagnacije prirodnog priraštaja.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Kraljevo</w:t>
      </w:r>
      <w:r/>
    </w:p>
    <w:p>
      <w:pPr>
        <w:pStyle w:val="1241"/>
        <w:numPr>
          <w:ilvl w:val="0"/>
          <w:numId w:val="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Stalni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Kraljevo beleži kontinuirani pad broja dece u grupi 0–4 godine. Broj je opao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45,2%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 1981. do 2022. godine.</w:t>
      </w:r>
      <w:r/>
    </w:p>
    <w:p>
      <w:pPr>
        <w:pStyle w:val="1241"/>
        <w:numPr>
          <w:ilvl w:val="0"/>
          <w:numId w:val="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 i starenje: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Odlazak mladih porodica u urbanije centre i inostranstvo, kao i starenje populacije, glavni su uzroci ovih promena.</w:t>
      </w:r>
      <w:r/>
    </w:p>
    <w:p>
      <w:pPr>
        <w:pStyle w:val="1241"/>
        <w:numPr>
          <w:ilvl w:val="0"/>
          <w:numId w:val="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Ako se ovaj trend nastavi, broj dece će do 2031. pasti ispod 4.000.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Čačak</w:t>
      </w:r>
      <w:r/>
    </w:p>
    <w:p>
      <w:pPr>
        <w:pStyle w:val="1241"/>
        <w:numPr>
          <w:ilvl w:val="0"/>
          <w:numId w:val="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Pad nataliteta: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Čačak beleži smanjenje broja dece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37,9%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 1981. godine. Najveći pad je zabeležen između 1991. i 2002. godine (-26,4%).</w:t>
      </w:r>
      <w:r/>
    </w:p>
    <w:p>
      <w:pPr>
        <w:pStyle w:val="1241"/>
        <w:numPr>
          <w:ilvl w:val="0"/>
          <w:numId w:val="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stabilizacija: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Posle velikog pada, broj dece u grupi 0–4 godine beleži blaži pad u poslednjem periodu (-5,7% od 2011. do 2022.).</w:t>
      </w:r>
      <w:r/>
    </w:p>
    <w:p>
      <w:pPr>
        <w:pStyle w:val="1241"/>
        <w:numPr>
          <w:ilvl w:val="0"/>
          <w:numId w:val="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Predviđa se da će broj dece do 2031. pasti ispod 4.500, sa daljom depopulacijom u narednim decenijama.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Posledice pada broja najmlađih stanovnika</w:t>
      </w:r>
      <w:r/>
    </w:p>
    <w:p>
      <w:pPr>
        <w:pStyle w:val="1241"/>
        <w:numPr>
          <w:ilvl w:val="0"/>
          <w:numId w:val="13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Starenje populacije: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Manji broj najmlađih generacija ubrzava starenje populacije. Ovo će povećati pritisak na zdravstveni i penzioni sistem, posebno u Kraljevu i Čačku.</w:t>
      </w:r>
      <w:r/>
    </w:p>
    <w:p>
      <w:pPr>
        <w:pStyle w:val="1241"/>
        <w:numPr>
          <w:ilvl w:val="0"/>
          <w:numId w:val="13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radno sposobne populacije: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Manji broj dece danas znači manji broj radno sposobnih ljudi u budućnosti. Ovo će negativno uticati na lokalne ekonomije.</w:t>
      </w:r>
      <w:r/>
    </w:p>
    <w:p>
      <w:pPr>
        <w:pStyle w:val="1241"/>
        <w:numPr>
          <w:ilvl w:val="0"/>
          <w:numId w:val="13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Depopulacija: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očekuje se dalji pad ukupnog broja stanovnika u ovim gradovima, posebno u Kraljevu i Čačku.</w:t>
      </w:r>
      <w:r/>
    </w:p>
    <w:p>
      <w:pPr>
        <w:pStyle w:val="1241"/>
        <w:numPr>
          <w:ilvl w:val="0"/>
          <w:numId w:val="13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Gubitak ekonomskog potencijala: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Manji broj mladih porodica vodi ka gubitku ljudskog kapitala i smanjenju produktivnosti.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6. Učešće grupe 0–4 godine u ukupnom broju stanovnika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 nastavku uključuje udeo starosne grupe 0–4 godine u odnosu na ukupnu populaciju u Novom Pazaru, Kraljevu i Čačku kroz popise od 1981. do 2022. godine. Prikazani su procenti, trendovi i posledice ovih promena.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(%) = (Broj stanovnika u grupi 0–4 godine/Ukupan broj stanovnika) × 100 </w:t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73"/>
        <w:gridCol w:w="1138"/>
        <w:gridCol w:w="1138"/>
        <w:gridCol w:w="1138"/>
        <w:gridCol w:w="1138"/>
        <w:gridCol w:w="1138"/>
      </w:tblGrid>
      <w:tr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 (%)</w:t>
            </w:r>
            <w:r/>
          </w:p>
        </w:tc>
      </w:tr>
      <w:tr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10.49%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9.92%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7.13%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8.24%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7.34%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6.98%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4.51%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4.50%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4.22%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7.01%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5.90%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4.25%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4.43%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4.57%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7. Indeksi učešća grupe 0–4 godine u ukupnom broju stanovnika  (bazna godina 1981)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ovom delu se bavimo baznim indeksima gde se kao bazna/ onovna vrednost uzima udeo najmađih stanovnika u  popisu 1981. godini. Indeksi su računati na sledeći način: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Indeks = (Udeo u datom popisu/Udeo iz 1981) × 100 </w:t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29"/>
        <w:gridCol w:w="729"/>
        <w:gridCol w:w="729"/>
        <w:gridCol w:w="729"/>
        <w:gridCol w:w="729"/>
        <w:gridCol w:w="729"/>
      </w:tblGrid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68.0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70.0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60.5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63.2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65.2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8. Procentualna promena učešća kroz popise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narednom delu je predstavljena promena učešća najmlađe populacije (0-4 godine) po popisima, to jest, intenzitet promene učešća najmlađe populacije u periodu između popisa. Vezani indeksi prate promenu iz perioda u period i pokazuju dinamiku promene: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Promena (%) = ((Udeo u narednom popisu − Udeo u prethodnom popisu) / Udeo u prethodnom popisu)×100  </w:t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89"/>
        <w:gridCol w:w="1255"/>
        <w:gridCol w:w="1255"/>
        <w:gridCol w:w="1255"/>
        <w:gridCol w:w="1255"/>
      </w:tblGrid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1981–1991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1991–2002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2002–2011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2011–2022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-5.4%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-28.4%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+16.4%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-10.9%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-19.9%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-19.3%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-0.2%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-6.4%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-15.8%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-28.1%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+4.6%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+3.2%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9. Tumačenje podataka i trendovi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Novi Pazar</w:t>
      </w:r>
      <w:r/>
    </w:p>
    <w:p>
      <w:pPr>
        <w:pStyle w:val="1241"/>
        <w:numPr>
          <w:ilvl w:val="0"/>
          <w:numId w:val="2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Veći udeo dece u ukupnoj populaciji: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tradicionalno ima veći udeo dece (oko 7–10%), što je rezultat visokog nataliteta i mlađe starosne strukture. Međutim, pad je evidentan, posebno između 1991. i 2002. godine (-28,4%).</w:t>
      </w:r>
      <w:r/>
    </w:p>
    <w:p>
      <w:pPr>
        <w:pStyle w:val="1241"/>
        <w:numPr>
          <w:ilvl w:val="0"/>
          <w:numId w:val="2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Stabilizacija u poslednjoj deceniji: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Poslednje dve decenije pokazuju relativnu stabilizaciju učešća, ali trend opadanja ukazuje na postepeni pad prirodnog priraštaja.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Kraljevo</w:t>
      </w:r>
      <w:r/>
    </w:p>
    <w:p>
      <w:pPr>
        <w:pStyle w:val="1241"/>
        <w:numPr>
          <w:ilvl w:val="0"/>
          <w:numId w:val="2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Kontinuirani pad učešća: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najmlađih opada od 1981. godine i sada iznosi samo 4,22%. Ovaj pad odražava starenje populacije i odlazak mladih porodica.</w:t>
      </w:r>
      <w:r/>
    </w:p>
    <w:p>
      <w:pPr>
        <w:pStyle w:val="1241"/>
        <w:numPr>
          <w:ilvl w:val="0"/>
          <w:numId w:val="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 i smanjenje rađanja: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Migracije mladih ka većim gradovima i inostranstvu, uz smanjenje nataliteta, glavni su razlozi za pad učešća.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Čačak</w:t>
      </w:r>
      <w:r/>
    </w:p>
    <w:p>
      <w:pPr>
        <w:pStyle w:val="1241"/>
        <w:numPr>
          <w:ilvl w:val="0"/>
          <w:numId w:val="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Postepen pad, ali blaga stabilizacija: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dece u Čačku opao je sa 7,01% (1981) na 4,57% (2022). Međutim, poslednjih godina (2011–2022) dolazi do blagog povećanja učešća (+3,2%).</w:t>
      </w:r>
      <w:r/>
    </w:p>
    <w:p>
      <w:pPr>
        <w:pStyle w:val="1241"/>
        <w:numPr>
          <w:ilvl w:val="0"/>
          <w:numId w:val="3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Iako je udeo blago porastao, apsolutni broj dece opada, što ukazuje na dublje demografske izazove.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10. Posledice za budućnost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Starenje populacije: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učešća najmlađih generacija ubrzava proces starenja populacije u sva tri grada. Ovo će izazvati povećan pritisak na zdravstvene i socijalne usluge, posebno u Kraljevu i Čačku, gde je pad učešća najizraženiji.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Smanjenje radne snage: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Manji udeo dece danas znači manji broj radno sposobnih stanovnika u budućnosti. Ovo će negativno uticati na lokalne ekonomije i sposobnost ovih gradova da održavaju svoje socijalne sisteme.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Depopulacija: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trendovi nastave, očekuje se dalji pad broja stanovnika u Kraljevu i Čačku, dok će Novi Pazar beležiti sporiji pad zahvaljujući povoljnijoj demografskoj strukturi.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11. Demografski izazovi i učešće najmlađih u populaciji: Novi Pazar, Kraljevo i Čačak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demografskih podataka za Novi Pazar, Kraljevo i Čačak jasno ukazuje na zabrinjavajući pad broja i udela najmlađih stanovnika (0–4 godine) u ukupnom broju stanovnika tokom poslednjih decenija. Ova grupa, koja je ključni pokazatelj nataliteta i buduć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radne snage, beleži postepeni pad u apsolutnim brojevima i procentualnom udelu u ukupnom stanovništvu. Ova promena ima dalekosežne posledice na buduću ekonomsku i društvenu održivost ovih gradova.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najmlađih stanovnika u sva tri grada opada od 1981. do 2022. godine, sa izuzetkom Novog Pazara, gde se beleži blaži pad zahvaljujući mlađoj populaciji i tradicionalno višim stopama nataliteta. Nasuprot tome, Kraljevo i Čačak pokazuju drastično smanjen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je broja dece u ovoj grupi.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grupe 0–4 godine smanjen je sa 10,49% (1981) na 7,34% (2022). Relativna stabilnost posledica je specifične demografske dinamike, ali i ovde su evidentni 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zovi, sa padom od 5,4% između 2011. i 2022.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beleži kontinuirani pad broja najmlađih, sa 8.483 (1981) na samo 4.646 (2022), što je smanjenje od 45,2%. Udeo ove grupe u ukupnoj populaciji opada sa 6,98% (1981) na 4,22% (2022). Ovaj trend je rezultat smanjenja nataliteta, migracija i starenja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populacije, što ozbiljno ugrožava demografsku stabilnost grada.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beleži pad broja dece sa 7.766 (1981) na 4.823 (2022), što predstavlja smanjenje od 37,9%. Udeo najmlađih u ukupnoj populaciji opao je sa 7,01% (1981) na 4,57% (2022). Iako je pad bio blaži poslednjih decenija, apsolutni brojevi pokazuju kontinuirano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opadanje.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Uzroci demografskih promena</w:t>
      </w:r>
      <w:r/>
    </w:p>
    <w:p>
      <w:pPr>
        <w:pStyle w:val="1241"/>
        <w:numPr>
          <w:ilvl w:val="0"/>
          <w:numId w:val="4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nataliteta: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Sve tri opštine prate širi trend u Srbiji gde porodice imaju manje dece, što je posledica ekonomskih uslova, promena životnih stilova i odlaganja roditeljstva.</w:t>
      </w:r>
      <w:r/>
    </w:p>
    <w:p>
      <w:pPr>
        <w:pStyle w:val="1241"/>
        <w:numPr>
          <w:ilvl w:val="0"/>
          <w:numId w:val="4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Mladi ljudi i porodice odlaze u urbanije centre i inostranstvo u potrazi za boljim uslovima, što dodatno smanjuje natalitet i demografski potencijal.</w:t>
      </w:r>
      <w:r/>
    </w:p>
    <w:p>
      <w:pPr>
        <w:pStyle w:val="1241"/>
        <w:numPr>
          <w:ilvl w:val="0"/>
          <w:numId w:val="4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Starenje populacije: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Manji broj mladih znači sve manji bazen za budući priraštaj, dok udeo starijih raste, što povećava pritisak na socijalne i zdravstvene sisteme.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12. Preporuke za buduće mere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porodicama: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36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Subvencije za roditelje i decu.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37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Uvođenje besplatnih vrtića i podrške za mlade roditelje.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38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Poreske olakšice za porodice sa više dece.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3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Kreirati radna mesta i podsticati lokalno preduzetništvo.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40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Privući investicije kako bi se smanjio odlazak mladih porodica.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Migraciona politika: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4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Programi za povratak porodica iz dijaspore.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42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Pružiti stambene subvencije za mlade porodice.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infrastrukture za decu: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43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Ulaganje u obrazovne i zdravstvene ustanove.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241"/>
        <w:numPr>
          <w:ilvl w:val="0"/>
          <w:numId w:val="144"/>
        </w:numPr>
        <w:contextualSpacing w:val="0"/>
        <w:ind w:right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Poboljšanje kvaliteta života za mlade porodice.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13. Zaključak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i udela najmlađih stanovnika u Novom Pazaru, Kraljevu i Čačku ukazuje na duboke demografske probleme. Dok Novi Pazar zahvaljujući svojoj specifičnoj demografiji beleži blaži pad, situacija u Kraljevu i Čačku predstavlja ozbiljan izazov za budući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razvoj. Bez strateških intervencija usmerenih na podsticanje nataliteta, zadržavanje mladih porodica i poboljšanje lokalnih ekonomskih uslova, ovi gradovi će se suočiti s ubrzanim starenjem, depopulacijom i smanjenjem ekonomskog potencijala. Sada je pravi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trenutak za implementaciju sveobuhvatnih demografskih politika kako bi se preokrenuli negativni trendovi i osigurao održiv razvoj ovih sredina.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učešća najmlađih generacija u ukupnom broju stanovnika pokazuje zabrinjavajući pad učešća u Kraljevu i Čačku, dok Novi Pazar zadržava relativno viši udeo. Ipak, svi gradovi beleže trend opadanja, što ukazuje na ozbiljne demografske izazove. </w:t>
      </w:r>
      <w:r/>
    </w:p>
    <w:p>
      <w:pPr>
        <w:shd w:val="nil" w:color="auto"/>
      </w:pPr>
      <w:r>
        <w:br w:type="page" w:clear="all"/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 Analiza kretanja najmlađih stanovnika (0–4 godine): Tutin, Sjenica, Nova Varoš, Prijepolje, Priboj i Raška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se fokusira na broj stanovnika starosne grupe 0–4 godine u opštinama Tutin, Sjenica, Nova Varoš, Prijepolje, Priboj i Raška na osnovu podataka iz popisa od 1981. do 2022. godine. Prikazujemo relativne brojeve, indekse kretanja, procente promena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posledice ovih trendova u budućnosti.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Pregled broja stanovnika u grupi 0–4 godine po popisima</w:t>
      </w:r>
      <w:r/>
    </w:p>
    <w:p>
      <w:r>
        <w:t xml:space="preserve">U nastavku je predstavljena tabela sa prikazom broja najmlađih stanovnika odabranih opština kroz popise:</w:t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4"/>
        <w:gridCol w:w="810"/>
        <w:gridCol w:w="810"/>
        <w:gridCol w:w="810"/>
        <w:gridCol w:w="810"/>
        <w:gridCol w:w="810"/>
      </w:tblGrid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4.310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3.899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2.833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2.679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3.505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3.010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1.946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1.766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1.477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1.751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460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4.208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3.780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2.147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1.967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1.639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3.087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2.624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814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2.084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1.689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1.201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1.095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915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Indeksi kretanja broja stanovnika (bazna godina 1981)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ovom delu se bavimo baznim indeksima gde se kao bazna/ onovna vrednost uzima broj najmađih stanovnika u 1981. Godini. Indeksi su računati na sledeći način: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Indeks = (Broj u datom popisu / Broj iz 1981) × 100 </w:t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57"/>
        <w:gridCol w:w="799"/>
        <w:gridCol w:w="799"/>
        <w:gridCol w:w="799"/>
        <w:gridCol w:w="799"/>
        <w:gridCol w:w="799"/>
      </w:tblGrid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90.5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60.9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65.7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62.2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85.9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55.5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50.4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42.1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85.0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45.7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26.3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89.8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51.0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46.7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38.9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85.0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44.9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29.3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26.4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81.0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57.6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52.5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43.9</w:t>
            </w:r>
            <w:r/>
          </w:p>
        </w:tc>
      </w:tr>
    </w:tbl>
    <w:p>
      <w:pPr>
        <w:pStyle w:val="1065"/>
        <w:ind w:left="0" w:right="0" w:firstLine="0"/>
        <w:jc w:val="center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38360" cy="2991719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6535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4838359" cy="2991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81.0pt;height:235.6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Procentualna promena broja stanovnika kroz popise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narednom delu je predstavljena promena po popisima to jest intenzitet promene u periodu između popisa. Vezani indeksi prate promenu iz perioda u period i pokazuju dinamiku promene: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Promena (%) =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(Broj u narednom popisu − Broj u prethodnom popisu) / Broj u prethodnom popisu × 100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92"/>
        <w:gridCol w:w="1585"/>
        <w:gridCol w:w="1585"/>
        <w:gridCol w:w="1585"/>
        <w:gridCol w:w="1585"/>
      </w:tblGrid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1981–1991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1991–2002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2002–2011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2011–2022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-9.5%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-32.7%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+8.0%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-5.4%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-14.1%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-35.4%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-9.2%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-16.4%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-15.0%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-46.2%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-29.6%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-18.3%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-10.2%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-43.2%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-8.4%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-16.6%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-15.0%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-47.2%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-34.7%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-10.0%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-19.0%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-28.9%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-8.8%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-16.4%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Tumačenje podataka i trendovi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Tutin</w:t>
      </w:r>
      <w:r/>
    </w:p>
    <w:p>
      <w:pPr>
        <w:pStyle w:val="1241"/>
        <w:numPr>
          <w:ilvl w:val="0"/>
          <w:numId w:val="5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Blagi pad u odnosu na druge opštine: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 beleži blaži pad broja najmlađih stanovnika zahvaljujući tradicionalno višem natalitetu. Broj dece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37,8%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između 1981. i 2022. godine, ali je između 2002. i 2011. zabeležen čak i blagi porast (+8,0%).</w:t>
      </w:r>
      <w:r/>
    </w:p>
    <w:p>
      <w:pPr>
        <w:pStyle w:val="1241"/>
        <w:numPr>
          <w:ilvl w:val="0"/>
          <w:numId w:val="6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poslednjem periodu (2011–2022) broj dece opao je za 5,4%, što ukazuje na početak stabilizacije, ali i dalje pad broja rođenih.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Sjenica</w:t>
      </w:r>
      <w:r/>
    </w:p>
    <w:p>
      <w:pPr>
        <w:pStyle w:val="1241"/>
        <w:numPr>
          <w:ilvl w:val="0"/>
          <w:numId w:val="6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Konstantan pad: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u Sjenici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57,9%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 1981. do 2022. godine, što ukazuje na značajno smanjenje prirodnog priraštaja.</w:t>
      </w:r>
      <w:r/>
    </w:p>
    <w:p>
      <w:pPr>
        <w:pStyle w:val="1241"/>
        <w:numPr>
          <w:ilvl w:val="0"/>
          <w:numId w:val="6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Između 2011. i 2022. broj dece opao je za dodatnih 16,4%, što pokazuje ubrzani pad nataliteta.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Nova Varoš</w:t>
      </w:r>
      <w:r/>
    </w:p>
    <w:p>
      <w:pPr>
        <w:pStyle w:val="1241"/>
        <w:numPr>
          <w:ilvl w:val="0"/>
          <w:numId w:val="6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Dramatičan pad: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beleži najveći pad broja najmlađih stanovnika u regionu, sa 1.751 (1981) na samo 460 (2022), što je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73,7%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241"/>
        <w:numPr>
          <w:ilvl w:val="0"/>
          <w:numId w:val="6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Ovaj pad ukazuje na ubrzanu depopulaciju i starenje populacije.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Prijepolje</w:t>
      </w:r>
      <w:r/>
    </w:p>
    <w:p>
      <w:pPr>
        <w:pStyle w:val="1241"/>
        <w:numPr>
          <w:ilvl w:val="0"/>
          <w:numId w:val="6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najmlađih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između 1981. i 2022. godine. Glavni uzrok je kombinacija niskog nataliteta i migracija.</w:t>
      </w:r>
      <w:r/>
    </w:p>
    <w:p>
      <w:pPr>
        <w:pStyle w:val="1241"/>
        <w:numPr>
          <w:ilvl w:val="0"/>
          <w:numId w:val="6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Pad od 16,6% između 2011. i 2022. ukazuje na nastavak depopulacije.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E) Priboj</w:t>
      </w:r>
      <w:r/>
    </w:p>
    <w:p>
      <w:pPr>
        <w:pStyle w:val="1241"/>
        <w:numPr>
          <w:ilvl w:val="0"/>
          <w:numId w:val="6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relativni pad: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beleži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73,6%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slično trendu u Novoj Varoši. Ovo ukazuje na kritičan gubitak mladih porodica i novorođenih.</w:t>
      </w:r>
      <w:r/>
    </w:p>
    <w:p>
      <w:pPr>
        <w:pStyle w:val="1241"/>
        <w:numPr>
          <w:ilvl w:val="0"/>
          <w:numId w:val="6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poslednjem periodu broj dece opao je za 10%, što ukazuje na nastavak negativnog trenda.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F) Raška</w:t>
      </w:r>
      <w:r/>
    </w:p>
    <w:p>
      <w:pPr>
        <w:pStyle w:val="1241"/>
        <w:numPr>
          <w:ilvl w:val="0"/>
          <w:numId w:val="6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Stalni pad, ali blaži nego u Priboju i Novoj Varoši: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najmlađih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56,1%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između 1981. i 2022. godine.</w:t>
      </w:r>
      <w:r/>
    </w:p>
    <w:p>
      <w:pPr>
        <w:pStyle w:val="1241"/>
        <w:numPr>
          <w:ilvl w:val="0"/>
          <w:numId w:val="7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poslednjoj deceniji beleži se pad od 16,4%, što ukazuje na ozbiljne demografske izazove.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Posledice za budućnost</w:t>
      </w:r>
      <w:r/>
    </w:p>
    <w:p>
      <w:pPr>
        <w:pStyle w:val="1241"/>
        <w:numPr>
          <w:ilvl w:val="0"/>
          <w:numId w:val="15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Ubrzano starenje populacije: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najmlađih generacija ubrzava proces starenja, posebno u Novoj Varoši, Priboju i Sjenici. Ovo će povećati pritisak na zdravstvene i socijalne sisteme.</w:t>
      </w:r>
      <w:r/>
    </w:p>
    <w:p>
      <w:pPr>
        <w:pStyle w:val="1241"/>
        <w:numPr>
          <w:ilvl w:val="0"/>
          <w:numId w:val="15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radne snage: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suočiće se sa smanjenjem radno sposobnog stanovništva, što će negativno uticati na lokalne ekonomije.</w:t>
      </w:r>
      <w:r/>
    </w:p>
    <w:p>
      <w:pPr>
        <w:pStyle w:val="1241"/>
        <w:numPr>
          <w:ilvl w:val="0"/>
          <w:numId w:val="15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Depopulacija: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poput Nove Varoši, Priboja i Sjenice beležiće dodatni pad populacije, dok će Tutin i dalje zadržavati relativno viši natalitet.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6. Udeo grupe 0–4 godine u ukupnom broju stanovnika po popisima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 nastavku uključuje udeo starosne grupe 0–4 godine u odnosu na ukupnu populaciju u tutinu, Sjenici, Nova Varoš, Prijepolje, Priboj i Raška kroz popise od 1981. do 2022. godine. Prikazani su procenti, trendovi i posledice ovih promena.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(%) = (Broj stanovnika u grupi 0–4 godine/Ukupan broj stanovnika) × 100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94"/>
        <w:gridCol w:w="1192"/>
        <w:gridCol w:w="1192"/>
        <w:gridCol w:w="1192"/>
        <w:gridCol w:w="1192"/>
        <w:gridCol w:w="1192"/>
      </w:tblGrid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 (%)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 (%)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13.15%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11.26%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9.09%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8.11%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9.85%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5.77%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6.69%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6.13%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7.78%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6.82%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3.97%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3.41%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4.70%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5.09%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8.77%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7.30%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3.46%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7.07%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5.88%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4.44%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4.26%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7. Indeksi učešća grupe 0–4 godine (bazna godina 1981)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ovom delu se bavimo baznim indeksima gde se kao bazna/ onovna vrednost uzima udeo najmađih stanovnika u  popisu 1981. godini. Indeksi su računati na sledeći način: 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Indeks = (Udeo u datom popisu/Udeo iz 1981) × 100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00"/>
        <w:gridCol w:w="775"/>
        <w:gridCol w:w="775"/>
        <w:gridCol w:w="775"/>
        <w:gridCol w:w="775"/>
        <w:gridCol w:w="775"/>
      </w:tblGrid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85.6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55.1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69.1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61.6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90.8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58.6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67.9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62.2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87.6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51.0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43.8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90.7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52.4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59.3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56.7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83.2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46.9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38.0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39.4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83.2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61.1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62.8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5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60.3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8. Procentualna promena učešća kroz popise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U narednom delu je predstavljena promena učešća najmlađe populacije (0-4 godine) po popisima, to jest, intenzitet promene učešća najmlađe populacije u periodu između popisa. Vezani indeksi prate promenu iz perioda u period i pokazuju dinamiku promene:</w:t>
      </w:r>
      <w:r>
        <w:rPr>
          <w:rFonts w:ascii="Times New Roman" w:hAnsi="Times New Roman" w:eastAsia="Times New Roman" w:cs="Times New Roman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Promena (%) = ((Udeo u narednom popisu − Udeo u prethodnom popisu) / Udeo u prethodnom popisu)×100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tbl>
      <w:tblPr>
        <w:tblStyle w:val="109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52"/>
        <w:gridCol w:w="1641"/>
        <w:gridCol w:w="1641"/>
        <w:gridCol w:w="1641"/>
        <w:gridCol w:w="1641"/>
      </w:tblGrid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1981–1991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1991–2002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2002–2011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2011–2022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-14.4%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-35.7%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+19.9%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-10.8%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-9.2%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-35.5%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+15.9%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-8.7%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-12.4%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-41.8%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-14.9%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+0.9%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-9.3%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-42.3%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+12.7%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-4.1%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-16.8%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-43.6%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-19.1%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+3.9%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-16.8%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-26.5%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+2.8%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-4.1%</w:t>
            </w:r>
            <w:r/>
          </w:p>
        </w:tc>
      </w:tr>
    </w:tbl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9. Tumačenje podataka i trendovi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Tutin</w:t>
      </w:r>
      <w:r/>
    </w:p>
    <w:p>
      <w:pPr>
        <w:pStyle w:val="1241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Veći udeo dece nego u drugim opštinama: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grupe 0–4 godine u Tutinu je značajno veći nego u ostalim opštinama, što je posledica višeg nataliteta i povoljnije starosne strukture. Ipak, udeo se smanjio sa 13,15% (1981) na 8,11% (2022).</w:t>
      </w:r>
      <w:r/>
    </w:p>
    <w:p>
      <w:pPr>
        <w:pStyle w:val="1241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Poslednje dve decenije pokazuju blagu stabilizaciju, ali pad je i dalje prisutan.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Sjenica</w:t>
      </w:r>
      <w:r/>
    </w:p>
    <w:p>
      <w:pPr>
        <w:pStyle w:val="1241"/>
        <w:numPr>
          <w:ilvl w:val="0"/>
          <w:numId w:val="8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Stalni pad učešća: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grupe 0–4 godine opao je sa 9,85% (1981) na 6,13% (2022). Ovo ukazuje na postepeno smanjenje nataliteta i rast učešća starijih generacija.</w:t>
      </w:r>
      <w:r/>
    </w:p>
    <w:p>
      <w:pPr>
        <w:pStyle w:val="1241"/>
        <w:numPr>
          <w:ilvl w:val="0"/>
          <w:numId w:val="8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Blagi oporavak zabeležen je između 2002. i 2011. (+15,9%), ali udeo i dalje opada.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Nova Varoš</w:t>
      </w:r>
      <w:r/>
    </w:p>
    <w:p>
      <w:pPr>
        <w:pStyle w:val="1241"/>
        <w:numPr>
          <w:ilvl w:val="0"/>
          <w:numId w:val="8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Najmanji udeo: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najmlađih u ukupnom broju stanovnika opao je sa 7,78% (1981) na 3,41% (2022), što je drastičan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56,2%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Ovo odražava snažnu depopulaciju i smanjenje rađanja.</w:t>
      </w:r>
      <w:r/>
    </w:p>
    <w:p>
      <w:pPr>
        <w:pStyle w:val="1241"/>
        <w:numPr>
          <w:ilvl w:val="0"/>
          <w:numId w:val="8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Iako je pad usporen u poslednjem periodu, opštine poput Nove Varoši suočavaju se sa velikim demografskim izazovima.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Prijepolje</w:t>
      </w:r>
      <w:r/>
    </w:p>
    <w:p>
      <w:pPr>
        <w:pStyle w:val="1241"/>
        <w:numPr>
          <w:ilvl w:val="0"/>
          <w:numId w:val="9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 učešća: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grupe 0–4 godine opao je sa 8,97% (1981) na 5,09% (2022). Iako je pad u poslednje dve decenije bio sporiji, učešće je i dalje u opadanju.</w:t>
      </w:r>
      <w:r/>
    </w:p>
    <w:p>
      <w:pPr>
        <w:pStyle w:val="1241"/>
        <w:numPr>
          <w:ilvl w:val="0"/>
          <w:numId w:val="9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Blagi oporavak između 2002. i 2011. nije bio održiv, a pad se nastavio.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E) Priboj</w:t>
      </w:r>
      <w:r/>
    </w:p>
    <w:p>
      <w:pPr>
        <w:pStyle w:val="1241"/>
        <w:numPr>
          <w:ilvl w:val="0"/>
          <w:numId w:val="9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pad: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grupe 0–4 godine opao je sa 8,77% (1981) na 3,46% (2022), što je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60,6%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Ovo je posledica intenzivnih migracija i niskog nataliteta.</w:t>
      </w:r>
      <w:r/>
    </w:p>
    <w:p>
      <w:pPr>
        <w:pStyle w:val="1241"/>
        <w:numPr>
          <w:ilvl w:val="0"/>
          <w:numId w:val="9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Poslednje dve decenije ukazuju na usporavanje pada, ali udeo je i dalje nizak.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F) Raška</w:t>
      </w:r>
      <w:r/>
    </w:p>
    <w:p>
      <w:pPr>
        <w:pStyle w:val="1241"/>
        <w:numPr>
          <w:ilvl w:val="0"/>
          <w:numId w:val="9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Blagi pad, ali manji nego u Priboju i Novoj Varoši: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Udeo najmlađih opao je sa 7,07% (1981) na 4,26% (2022), što ukazuje na postepeno smanjenje nataliteta.</w:t>
      </w:r>
      <w:r/>
    </w:p>
    <w:p>
      <w:pPr>
        <w:pStyle w:val="1241"/>
        <w:numPr>
          <w:ilvl w:val="0"/>
          <w:numId w:val="9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Trend: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Blaga stabilizacija između 2002. i 2011. (+2,8%) nije bila dovoljna da preokrene negativan trend.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10. Posledice za budućnost</w:t>
      </w:r>
      <w:r/>
    </w:p>
    <w:p>
      <w:pPr>
        <w:pStyle w:val="1241"/>
        <w:numPr>
          <w:ilvl w:val="0"/>
          <w:numId w:val="167"/>
        </w:numPr>
        <w:ind w:right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Ubrzano starenje populacije: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Pad učešća najmlađih generacija ubrzava proces starenja, posebno u Novoj Varoši, Priboju i Sjenici, gde su demografski problemi najizraženiji. Ovo će povećati pritisak na zdravstvene i penzione sisteme.</w:t>
      </w:r>
      <w:r/>
    </w:p>
    <w:p>
      <w:pPr>
        <w:pStyle w:val="1241"/>
        <w:numPr>
          <w:ilvl w:val="0"/>
          <w:numId w:val="167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radne snage: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će se suočiti sa manjkom radno sposobnih ljudi, što će negativno uticati na lokalne ekonomije.</w:t>
      </w:r>
      <w:r/>
    </w:p>
    <w:p>
      <w:pPr>
        <w:pStyle w:val="1241"/>
        <w:numPr>
          <w:ilvl w:val="0"/>
          <w:numId w:val="167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Depopulacija: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poput Nove Varoši i Priboja beležiće dalje smanjenje ukupne populacije, dok će Tutin i Sjenica usporiti pad zahvaljujući višim natalitetnim stopama.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11. Demografski izazovi i učešće najmlađih u opštinama Tutin, Sjenica, Nova Varoš, Prijepolje, Priboj i Raška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podataka o kretanju broja stanovnika starosne grupe 0–4 godine i njihovom udelu u ukupnom stanovništvu, analizirane su demografske promene za svaku opštinu pojedinačno, opšti trendovi, kao i poređenja među opštinama.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</w:t>
      </w:r>
      <w:r/>
    </w:p>
    <w:p>
      <w:pPr>
        <w:pStyle w:val="1241"/>
        <w:numPr>
          <w:ilvl w:val="0"/>
          <w:numId w:val="10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kroz vreme: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 beleži blaži pad broja najmlađih stanovnika u poređenju sa ostalim opštinama. Broj dece u grupi 0–4 godine opao je sa 4.310 (1981) na 2.679 (2022), što je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37,8%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Udeo ove grupe u ukupnom broju stanovnika opao je sa 13,15% (1981) na 8,11% (2022).</w:t>
      </w:r>
      <w:r/>
    </w:p>
    <w:p>
      <w:pPr>
        <w:pStyle w:val="1241"/>
        <w:numPr>
          <w:ilvl w:val="0"/>
          <w:numId w:val="10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faktori: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Tradicionalno viši natalitet i mlađa populacija doprineli su relativno većem udelu dece u ukupnoj populaciji u poređenju sa drugim opštinama. Ipak, pad je evidentan zbog migracija mladih porodica i promena u reproduktivnim navikama.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Sjenica</w:t>
      </w:r>
      <w:r/>
    </w:p>
    <w:p>
      <w:pPr>
        <w:pStyle w:val="1241"/>
        <w:numPr>
          <w:ilvl w:val="0"/>
          <w:numId w:val="11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kroz vreme: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beleži kontinuiran pad broja dece. Broj stanovnika starosne grupe 0–4 godine opao je sa 3.505 (1981) na 1.477 (2022),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57,9%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Udeo grupe 0–4 godine opao je sa 9,85% na 6,13% u istom periodu.</w:t>
      </w:r>
      <w:r/>
    </w:p>
    <w:p>
      <w:pPr>
        <w:pStyle w:val="1241"/>
        <w:numPr>
          <w:ilvl w:val="0"/>
          <w:numId w:val="11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faktori: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Smanjenje nataliteta i značajan odlazak mladih porodica u veće gradove i inostranstvo glavni su uzroci ovog trenda.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</w:t>
      </w:r>
      <w:r/>
    </w:p>
    <w:p>
      <w:pPr>
        <w:pStyle w:val="1241"/>
        <w:numPr>
          <w:ilvl w:val="0"/>
          <w:numId w:val="11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kroz vreme: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beleži najdramatičniji pad broja najmlađih stanovnika među analiziranim opštinama. Broj dece opao je sa 1.751 (1981) na samo 460 (2022), što predstavlja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73,7%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Udeo grupe 0–4 godine opao je sa 7,78% (1981) na 3,41% (2022).</w:t>
      </w:r>
      <w:r/>
    </w:p>
    <w:p>
      <w:pPr>
        <w:pStyle w:val="1241"/>
        <w:numPr>
          <w:ilvl w:val="0"/>
          <w:numId w:val="11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faktori: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Ova opština se suočava sa intenzivnom depopulacijom, migracijama mladih i niskim natalitetom. Starenje populacije dodatno ugrožava demografsku stabilnost.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Prijepolje</w:t>
      </w:r>
      <w:r/>
    </w:p>
    <w:p>
      <w:pPr>
        <w:pStyle w:val="1241"/>
        <w:numPr>
          <w:ilvl w:val="0"/>
          <w:numId w:val="11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kroz vreme: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u Prijepolju opao je sa 4.208 (1981) na 1.639 (2022),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Udeo grupe 0–4 godine opao je sa 8,97% (1981) na 5,09% (2022).</w:t>
      </w:r>
      <w:r/>
    </w:p>
    <w:p>
      <w:pPr>
        <w:pStyle w:val="1241"/>
        <w:numPr>
          <w:ilvl w:val="0"/>
          <w:numId w:val="11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faktori: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Smanjenje nataliteta i migracije ključni su uzroci demografskih promena. Iako je zabeležen blagi oporavak između 2002. i 2011, trend pada je nastavljen.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Priboj</w:t>
      </w:r>
      <w:r/>
    </w:p>
    <w:p>
      <w:pPr>
        <w:pStyle w:val="1241"/>
        <w:numPr>
          <w:ilvl w:val="0"/>
          <w:numId w:val="11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kroz vreme: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beleži pad broja najmlađih stanovnika sa 3.087 (1981) na 814 (2022),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73,6%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Udeo grupe 0–4 godine opao je sa 8,77% na 3,46%.</w:t>
      </w:r>
      <w:r/>
    </w:p>
    <w:p>
      <w:pPr>
        <w:pStyle w:val="1241"/>
        <w:numPr>
          <w:ilvl w:val="0"/>
          <w:numId w:val="12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faktori: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Intenzivne migracije i niska stopa nataliteta glavni su uzroci ovog trenda. Opština beleži jedan od najvećih padova u regionu.</w:t>
      </w:r>
      <w:r/>
    </w:p>
    <w:p>
      <w:pPr>
        <w:pStyle w:val="1067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Raška</w:t>
      </w:r>
      <w:r/>
    </w:p>
    <w:p>
      <w:pPr>
        <w:pStyle w:val="1241"/>
        <w:numPr>
          <w:ilvl w:val="0"/>
          <w:numId w:val="12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kroz vreme: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u Raški opao je sa 2.084 (1981) na 915 (2022),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56,1%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Udeo grupe 0–4 godine opao je sa 7,07% (1981) na 4,26% (2022).</w:t>
      </w:r>
      <w:r/>
    </w:p>
    <w:p>
      <w:pPr>
        <w:pStyle w:val="1241"/>
        <w:numPr>
          <w:ilvl w:val="0"/>
          <w:numId w:val="12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faktori: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Raška beleži manji pad u odnosu na Priboj i Novu Varoš, ali i dalje ima izražen problem smanjenja broja mladih porodica i nataliteta.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Opšta situacija za sve odabrane opštine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beleže pad broja najmlađih stanovnika i njihovog učešća u ukupnom broju stanovnika, što odražava opšti trend smanjenja nataliteta, migracija i starenja populacije u Srbiji. Tutin ima relativno povoljniju situaciju, dok su Nova Varoš i Priboj 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najkritičnijem stanju. Glavni uzroci ovih trendova uključuju:</w:t>
      </w:r>
      <w:r/>
    </w:p>
    <w:p>
      <w:pPr>
        <w:pStyle w:val="1241"/>
        <w:numPr>
          <w:ilvl w:val="0"/>
          <w:numId w:val="12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Nizak natalitet: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Manji broj dece po porodici odražava širi trend u Srbiji.</w:t>
      </w:r>
      <w:r/>
    </w:p>
    <w:p>
      <w:pPr>
        <w:pStyle w:val="1241"/>
        <w:numPr>
          <w:ilvl w:val="0"/>
          <w:numId w:val="12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Mladi odlaze u veće gradove i inostranstvo, što dodatno smanjuje broj novorođenih.</w:t>
      </w:r>
      <w:r/>
    </w:p>
    <w:p>
      <w:pPr>
        <w:pStyle w:val="1241"/>
        <w:numPr>
          <w:ilvl w:val="0"/>
          <w:numId w:val="12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Starenje populacije: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Pad broja mladih generacija ubrzava proces starenja, povećavajući udeo starijih od 60 godina.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Poređenje trendova među opštinama</w:t>
      </w:r>
      <w:r/>
    </w:p>
    <w:p>
      <w:pPr>
        <w:pStyle w:val="1241"/>
        <w:numPr>
          <w:ilvl w:val="0"/>
          <w:numId w:val="12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Najmanji relativni pad broja dece i učešća grupe 0–4 godine zahvaljujući višem natalitetu.</w:t>
      </w:r>
      <w:r/>
    </w:p>
    <w:p>
      <w:pPr>
        <w:pStyle w:val="1241"/>
        <w:numPr>
          <w:ilvl w:val="0"/>
          <w:numId w:val="12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Sjenica i Raška: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Beleže umeren pad, ali i dalje pokazuju zabrinjavajuće trendove smanjenja nataliteta i migracija.</w:t>
      </w:r>
      <w:r/>
    </w:p>
    <w:p>
      <w:pPr>
        <w:pStyle w:val="1241"/>
        <w:numPr>
          <w:ilvl w:val="0"/>
          <w:numId w:val="1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 i Priboj: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Ove opštine beleže najveći pad broja dece i najniže udele grupe 0–4 godine, što ukazuje na kritičnu demografsku situaciju.</w:t>
      </w:r>
      <w:r/>
    </w:p>
    <w:p>
      <w:pPr>
        <w:pStyle w:val="1241"/>
        <w:numPr>
          <w:ilvl w:val="0"/>
          <w:numId w:val="1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Prijepolje: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Nalazi se između Tutina i kritičnih opština poput Priboja, ali sa izraženim padom populacije.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Relevantni komentari</w:t>
      </w:r>
      <w:r/>
    </w:p>
    <w:p>
      <w:pPr>
        <w:pStyle w:val="1241"/>
        <w:numPr>
          <w:ilvl w:val="0"/>
          <w:numId w:val="1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Uticaj migracija: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Intenzivna migracija mladih ljudi iz manjih opština ključni je uzrok demografskih problema, posebno u Novoj Varoši i Priboju.</w:t>
      </w:r>
      <w:r/>
    </w:p>
    <w:p>
      <w:pPr>
        <w:pStyle w:val="1241"/>
        <w:numPr>
          <w:ilvl w:val="0"/>
          <w:numId w:val="1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Zavisnost od lokalne ekonomije: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Ekonomska stagnacija u ovim opštinama dodatno podstiče odlazak mladih i smanjenje nataliteta.</w:t>
      </w:r>
      <w:r/>
    </w:p>
    <w:p>
      <w:pPr>
        <w:pStyle w:val="1241"/>
        <w:numPr>
          <w:ilvl w:val="0"/>
          <w:numId w:val="1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Potreba za hitnim merama: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Bez strateških intervencija, opštine poput Nove Varoši i Priboja suočiće se sa neodrživom demografskom situacijom.</w:t>
      </w:r>
      <w:r/>
    </w:p>
    <w:p>
      <w:pPr>
        <w:pStyle w:val="106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12. Preporuke za buduće mere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nataliteta:</w:t>
      </w:r>
      <w:r/>
    </w:p>
    <w:p>
      <w:pPr>
        <w:pStyle w:val="1241"/>
        <w:numPr>
          <w:ilvl w:val="0"/>
          <w:numId w:val="17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Subvencije za roditelje i besplatni vrtići.</w:t>
      </w:r>
      <w:r/>
    </w:p>
    <w:p>
      <w:pPr>
        <w:pStyle w:val="1241"/>
        <w:numPr>
          <w:ilvl w:val="0"/>
          <w:numId w:val="1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Podrška porodicama sa troje i više dece.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Zadržavanje mladih porodica:</w:t>
      </w:r>
      <w:r/>
    </w:p>
    <w:p>
      <w:pPr>
        <w:pStyle w:val="1241"/>
        <w:numPr>
          <w:ilvl w:val="0"/>
          <w:numId w:val="18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radnih mesta i povoljnijih uslova za život.</w:t>
      </w:r>
      <w:r/>
    </w:p>
    <w:p>
      <w:pPr>
        <w:pStyle w:val="1241"/>
        <w:numPr>
          <w:ilvl w:val="0"/>
          <w:numId w:val="18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Stambene subvencije za mlade porodice.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Migraciona politika:</w:t>
      </w:r>
      <w:r/>
    </w:p>
    <w:p>
      <w:pPr>
        <w:pStyle w:val="1241"/>
        <w:numPr>
          <w:ilvl w:val="0"/>
          <w:numId w:val="1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Poticaji za povratak mladih iz inostranstva.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infrastrukture:</w:t>
      </w:r>
      <w:r/>
    </w:p>
    <w:p>
      <w:pPr>
        <w:pStyle w:val="1241"/>
        <w:numPr>
          <w:ilvl w:val="0"/>
          <w:numId w:val="18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Ulaganje u obrazovanje, zdravstvo i lokalnu privredu kako bi se povećao kvalitet života.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1065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13.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 analizirane opštine suočavaju se sa ozbiljnim demografskim izazovima. Dok Tutin ima relativno povoljniju situaciju, većina opština beleži zabrinjavajuće smanjenje broja najmlađih stanovnika i njihovog učešća u ukupnoj populaciji. Bez ciljanih politika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 podsticanje nataliteta, zadržavanje mladih porodica i revitalizaciju lokalnih ekonomija, ovi trendovi će se nastaviti, dodatno ugrožavajući demografsku i ekonomsku održivost ovih zajednica.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najmlađih stanovnika (0–4 godine) u opštinama Tutin, Sjenica, Nova Varoš, Prijepolje, Priboj i Raška značajno se smanjio u poslednjih 40 godina. Dok Tutin beleži relativno viši udeo zahvaljujući povoljnijim natalitetnim trendovima, opštine poput Nove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Varoši i Priboja suočavaju se s kritičnim smanjenjem učešća najmlađih generacija. Bez hitnih mera za podsticanje nataliteta, zadržavanje mladih porodica i unapređenje lokalnih ekonomija, ove opštine će se suočiti sa dodatnim demografskim, ekonomskim i druš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tvenim izazovima.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425" w:footer="466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Cantarell"/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jc w:val="right"/>
    </w:pPr>
    <w:fldSimple w:instr="PAGE \* MERGEFORMAT">
      <w:r>
        <w:t xml:space="preserve">1</w:t>
      </w:r>
    </w:fldSimple>
    <w:r/>
    <w:r/>
  </w:p>
  <w:p>
    <w:pPr>
      <w:pStyle w:val="1089"/>
      <w:rPr>
        <w:rFonts w:ascii="Cantarell" w:hAnsi="Cantarell" w:cs="Cantarell"/>
      </w:rPr>
    </w:pPr>
    <w:r>
      <w:rPr>
        <w:rFonts w:ascii="Cantarell" w:hAnsi="Cantarell" w:cs="Cantarell"/>
        <w:b/>
        <w:bCs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7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41217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4" cy="1765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93098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3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5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61">
    <w:name w:val="Heading 1"/>
    <w:basedOn w:val="1237"/>
    <w:next w:val="1237"/>
    <w:link w:val="10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62">
    <w:name w:val="Heading 1 Char"/>
    <w:link w:val="1061"/>
    <w:uiPriority w:val="9"/>
    <w:rPr>
      <w:rFonts w:ascii="Arial" w:hAnsi="Arial" w:eastAsia="Arial" w:cs="Arial"/>
      <w:sz w:val="40"/>
      <w:szCs w:val="40"/>
    </w:rPr>
  </w:style>
  <w:style w:type="paragraph" w:styleId="1063">
    <w:name w:val="Heading 2"/>
    <w:basedOn w:val="1237"/>
    <w:next w:val="1237"/>
    <w:link w:val="10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64">
    <w:name w:val="Heading 2 Char"/>
    <w:link w:val="1063"/>
    <w:uiPriority w:val="9"/>
    <w:rPr>
      <w:rFonts w:ascii="Arial" w:hAnsi="Arial" w:eastAsia="Arial" w:cs="Arial"/>
      <w:sz w:val="34"/>
    </w:rPr>
  </w:style>
  <w:style w:type="paragraph" w:styleId="1065">
    <w:name w:val="Heading 3"/>
    <w:basedOn w:val="1237"/>
    <w:next w:val="1237"/>
    <w:link w:val="10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66">
    <w:name w:val="Heading 3 Char"/>
    <w:link w:val="1065"/>
    <w:uiPriority w:val="9"/>
    <w:rPr>
      <w:rFonts w:ascii="Arial" w:hAnsi="Arial" w:eastAsia="Arial" w:cs="Arial"/>
      <w:sz w:val="30"/>
      <w:szCs w:val="30"/>
    </w:rPr>
  </w:style>
  <w:style w:type="paragraph" w:styleId="1067">
    <w:name w:val="Heading 4"/>
    <w:basedOn w:val="1237"/>
    <w:next w:val="1237"/>
    <w:link w:val="10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68">
    <w:name w:val="Heading 4 Char"/>
    <w:link w:val="1067"/>
    <w:uiPriority w:val="9"/>
    <w:rPr>
      <w:rFonts w:ascii="Arial" w:hAnsi="Arial" w:eastAsia="Arial" w:cs="Arial"/>
      <w:b/>
      <w:bCs/>
      <w:sz w:val="26"/>
      <w:szCs w:val="26"/>
    </w:rPr>
  </w:style>
  <w:style w:type="paragraph" w:styleId="1069">
    <w:name w:val="Heading 5"/>
    <w:basedOn w:val="1237"/>
    <w:next w:val="1237"/>
    <w:link w:val="10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70">
    <w:name w:val="Heading 5 Char"/>
    <w:link w:val="1069"/>
    <w:uiPriority w:val="9"/>
    <w:rPr>
      <w:rFonts w:ascii="Arial" w:hAnsi="Arial" w:eastAsia="Arial" w:cs="Arial"/>
      <w:b/>
      <w:bCs/>
      <w:sz w:val="24"/>
      <w:szCs w:val="24"/>
    </w:rPr>
  </w:style>
  <w:style w:type="paragraph" w:styleId="1071">
    <w:name w:val="Heading 6"/>
    <w:basedOn w:val="1237"/>
    <w:next w:val="1237"/>
    <w:link w:val="10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72">
    <w:name w:val="Heading 6 Char"/>
    <w:link w:val="1071"/>
    <w:uiPriority w:val="9"/>
    <w:rPr>
      <w:rFonts w:ascii="Arial" w:hAnsi="Arial" w:eastAsia="Arial" w:cs="Arial"/>
      <w:b/>
      <w:bCs/>
      <w:sz w:val="22"/>
      <w:szCs w:val="22"/>
    </w:rPr>
  </w:style>
  <w:style w:type="paragraph" w:styleId="1073">
    <w:name w:val="Heading 7"/>
    <w:basedOn w:val="1237"/>
    <w:next w:val="1237"/>
    <w:link w:val="10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74">
    <w:name w:val="Heading 7 Char"/>
    <w:link w:val="10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75">
    <w:name w:val="Heading 8"/>
    <w:basedOn w:val="1237"/>
    <w:next w:val="1237"/>
    <w:link w:val="10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76">
    <w:name w:val="Heading 8 Char"/>
    <w:link w:val="1075"/>
    <w:uiPriority w:val="9"/>
    <w:rPr>
      <w:rFonts w:ascii="Arial" w:hAnsi="Arial" w:eastAsia="Arial" w:cs="Arial"/>
      <w:i/>
      <w:iCs/>
      <w:sz w:val="22"/>
      <w:szCs w:val="22"/>
    </w:rPr>
  </w:style>
  <w:style w:type="paragraph" w:styleId="1077">
    <w:name w:val="Heading 9"/>
    <w:basedOn w:val="1237"/>
    <w:next w:val="1237"/>
    <w:link w:val="10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78">
    <w:name w:val="Heading 9 Char"/>
    <w:link w:val="1077"/>
    <w:uiPriority w:val="9"/>
    <w:rPr>
      <w:rFonts w:ascii="Arial" w:hAnsi="Arial" w:eastAsia="Arial" w:cs="Arial"/>
      <w:i/>
      <w:iCs/>
      <w:sz w:val="21"/>
      <w:szCs w:val="21"/>
    </w:rPr>
  </w:style>
  <w:style w:type="paragraph" w:styleId="1079">
    <w:name w:val="Title"/>
    <w:basedOn w:val="1237"/>
    <w:next w:val="1237"/>
    <w:link w:val="10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80">
    <w:name w:val="Title Char"/>
    <w:link w:val="1079"/>
    <w:uiPriority w:val="10"/>
    <w:rPr>
      <w:sz w:val="48"/>
      <w:szCs w:val="48"/>
    </w:rPr>
  </w:style>
  <w:style w:type="paragraph" w:styleId="1081">
    <w:name w:val="Subtitle"/>
    <w:basedOn w:val="1237"/>
    <w:next w:val="1237"/>
    <w:link w:val="1082"/>
    <w:uiPriority w:val="11"/>
    <w:qFormat/>
    <w:pPr>
      <w:spacing w:before="200" w:after="200"/>
    </w:pPr>
    <w:rPr>
      <w:sz w:val="24"/>
      <w:szCs w:val="24"/>
    </w:rPr>
  </w:style>
  <w:style w:type="character" w:styleId="1082">
    <w:name w:val="Subtitle Char"/>
    <w:link w:val="1081"/>
    <w:uiPriority w:val="11"/>
    <w:rPr>
      <w:sz w:val="24"/>
      <w:szCs w:val="24"/>
    </w:rPr>
  </w:style>
  <w:style w:type="paragraph" w:styleId="1083">
    <w:name w:val="Quote"/>
    <w:basedOn w:val="1237"/>
    <w:next w:val="1237"/>
    <w:link w:val="1084"/>
    <w:uiPriority w:val="29"/>
    <w:qFormat/>
    <w:pPr>
      <w:ind w:left="720" w:right="720"/>
    </w:pPr>
    <w:rPr>
      <w:i/>
    </w:rPr>
  </w:style>
  <w:style w:type="character" w:styleId="1084">
    <w:name w:val="Quote Char"/>
    <w:link w:val="1083"/>
    <w:uiPriority w:val="29"/>
    <w:rPr>
      <w:i/>
    </w:rPr>
  </w:style>
  <w:style w:type="paragraph" w:styleId="1085">
    <w:name w:val="Intense Quote"/>
    <w:basedOn w:val="1237"/>
    <w:next w:val="1237"/>
    <w:link w:val="10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86">
    <w:name w:val="Intense Quote Char"/>
    <w:link w:val="1085"/>
    <w:uiPriority w:val="30"/>
    <w:rPr>
      <w:i/>
    </w:rPr>
  </w:style>
  <w:style w:type="paragraph" w:styleId="1087">
    <w:name w:val="Header"/>
    <w:basedOn w:val="1237"/>
    <w:link w:val="10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88">
    <w:name w:val="Header Char"/>
    <w:link w:val="1087"/>
    <w:uiPriority w:val="99"/>
  </w:style>
  <w:style w:type="paragraph" w:styleId="1089">
    <w:name w:val="Footer"/>
    <w:basedOn w:val="1237"/>
    <w:link w:val="10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90">
    <w:name w:val="Footer Char"/>
    <w:link w:val="1089"/>
    <w:uiPriority w:val="99"/>
  </w:style>
  <w:style w:type="paragraph" w:styleId="1091">
    <w:name w:val="Caption"/>
    <w:basedOn w:val="1237"/>
    <w:next w:val="12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92">
    <w:name w:val="Caption Char"/>
    <w:basedOn w:val="1091"/>
    <w:link w:val="1089"/>
    <w:uiPriority w:val="99"/>
  </w:style>
  <w:style w:type="table" w:styleId="1093">
    <w:name w:val="Table Grid"/>
    <w:basedOn w:val="12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4">
    <w:name w:val="Table Grid Light"/>
    <w:basedOn w:val="12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5">
    <w:name w:val="Plain Table 1"/>
    <w:basedOn w:val="12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6">
    <w:name w:val="Plain Table 2"/>
    <w:basedOn w:val="12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7">
    <w:name w:val="Plain Table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98">
    <w:name w:val="Plain Table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Plain Table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00">
    <w:name w:val="Grid Table 1 Light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Grid Table 1 Light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Grid Table 1 Light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Grid Table 1 Light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Grid Table 1 Light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Grid Table 1 Light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Grid Table 1 Light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Grid Table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Grid Table 2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Grid Table 2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Grid Table 2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Grid Table 2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Grid Table 2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Grid Table 2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Grid Table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Grid Table 3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Grid Table 3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Grid Table 3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>
    <w:name w:val="Grid Table 3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Grid Table 3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>
    <w:name w:val="Grid Table 3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Grid Table 4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22">
    <w:name w:val="Grid Table 4 - Accent 1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23">
    <w:name w:val="Grid Table 4 - Accent 2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4">
    <w:name w:val="Grid Table 4 - Accent 3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25">
    <w:name w:val="Grid Table 4 - Accent 4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6">
    <w:name w:val="Grid Table 4 - Accent 5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27">
    <w:name w:val="Grid Table 4 - Accent 6"/>
    <w:basedOn w:val="12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28">
    <w:name w:val="Grid Table 5 Dark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29">
    <w:name w:val="Grid Table 5 Dark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30">
    <w:name w:val="Grid Table 5 Dark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31">
    <w:name w:val="Grid Table 5 Dark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32">
    <w:name w:val="Grid Table 5 Dark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33">
    <w:name w:val="Grid Table 5 Dark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34">
    <w:name w:val="Grid Table 5 Dark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35">
    <w:name w:val="Grid Table 6 Colorful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36">
    <w:name w:val="Grid Table 6 Colorful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37">
    <w:name w:val="Grid Table 6 Colorful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38">
    <w:name w:val="Grid Table 6 Colorful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39">
    <w:name w:val="Grid Table 6 Colorful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40">
    <w:name w:val="Grid Table 6 Colorful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41">
    <w:name w:val="Grid Table 6 Colorful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42">
    <w:name w:val="Grid Table 7 Colorful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7 Colorful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7 Colorful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7 Colorful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7 Colorful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Grid Table 7 Colorful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Grid Table 7 Colorful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List Table 1 Light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List Table 1 Light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List Table 1 Light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List Table 1 Light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>
    <w:name w:val="List Table 1 Light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>
    <w:name w:val="List Table 1 Light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>
    <w:name w:val="List Table 1 Light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>
    <w:name w:val="List Table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57">
    <w:name w:val="List Table 2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58">
    <w:name w:val="List Table 2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9">
    <w:name w:val="List Table 2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0">
    <w:name w:val="List Table 2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1">
    <w:name w:val="List Table 2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2">
    <w:name w:val="List Table 2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3">
    <w:name w:val="List Table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>
    <w:name w:val="List Table 3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5">
    <w:name w:val="List Table 3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6">
    <w:name w:val="List Table 3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>
    <w:name w:val="List Table 3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8">
    <w:name w:val="List Table 3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>
    <w:name w:val="List Table 3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>
    <w:name w:val="List Table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1">
    <w:name w:val="List Table 4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>
    <w:name w:val="List Table 4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>
    <w:name w:val="List Table 4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>
    <w:name w:val="List Table 4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>
    <w:name w:val="List Table 4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6">
    <w:name w:val="List Table 4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7">
    <w:name w:val="List Table 5 Dark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78">
    <w:name w:val="List Table 5 Dark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79">
    <w:name w:val="List Table 5 Dark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0">
    <w:name w:val="List Table 5 Dark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1">
    <w:name w:val="List Table 5 Dark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2">
    <w:name w:val="List Table 5 Dark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3">
    <w:name w:val="List Table 5 Dark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4">
    <w:name w:val="List Table 6 Colorful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85">
    <w:name w:val="List Table 6 Colorful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86">
    <w:name w:val="List Table 6 Colorful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87">
    <w:name w:val="List Table 6 Colorful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88">
    <w:name w:val="List Table 6 Colorful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89">
    <w:name w:val="List Table 6 Colorful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90">
    <w:name w:val="List Table 6 Colorful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91">
    <w:name w:val="List Table 7 Colorful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92">
    <w:name w:val="List Table 7 Colorful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93">
    <w:name w:val="List Table 7 Colorful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94">
    <w:name w:val="List Table 7 Colorful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95">
    <w:name w:val="List Table 7 Colorful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96">
    <w:name w:val="List Table 7 Colorful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97">
    <w:name w:val="List Table 7 Colorful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98">
    <w:name w:val="Lined - Accent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99">
    <w:name w:val="Lined - Accent 1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00">
    <w:name w:val="Lined - Accent 2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01">
    <w:name w:val="Lined - Accent 3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02">
    <w:name w:val="Lined - Accent 4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03">
    <w:name w:val="Lined - Accent 5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04">
    <w:name w:val="Lined - Accent 6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05">
    <w:name w:val="Bordered &amp; Lined - Accent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06">
    <w:name w:val="Bordered &amp; Lined - Accent 1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07">
    <w:name w:val="Bordered &amp; Lined - Accent 2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08">
    <w:name w:val="Bordered &amp; Lined - Accent 3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09">
    <w:name w:val="Bordered &amp; Lined - Accent 4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10">
    <w:name w:val="Bordered &amp; Lined - Accent 5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11">
    <w:name w:val="Bordered &amp; Lined - Accent 6"/>
    <w:basedOn w:val="12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12">
    <w:name w:val="Bordered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13">
    <w:name w:val="Bordered - Accent 1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14">
    <w:name w:val="Bordered - Accent 2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15">
    <w:name w:val="Bordered - Accent 3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16">
    <w:name w:val="Bordered - Accent 4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17">
    <w:name w:val="Bordered - Accent 5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18">
    <w:name w:val="Bordered - Accent 6"/>
    <w:basedOn w:val="12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19">
    <w:name w:val="Hyperlink"/>
    <w:uiPriority w:val="99"/>
    <w:unhideWhenUsed/>
    <w:rPr>
      <w:color w:val="0000ff" w:themeColor="hyperlink"/>
      <w:u w:val="single"/>
    </w:rPr>
  </w:style>
  <w:style w:type="paragraph" w:styleId="1220">
    <w:name w:val="footnote text"/>
    <w:basedOn w:val="1237"/>
    <w:link w:val="1221"/>
    <w:uiPriority w:val="99"/>
    <w:semiHidden/>
    <w:unhideWhenUsed/>
    <w:pPr>
      <w:spacing w:after="40" w:line="240" w:lineRule="auto"/>
    </w:pPr>
    <w:rPr>
      <w:sz w:val="18"/>
    </w:rPr>
  </w:style>
  <w:style w:type="character" w:styleId="1221">
    <w:name w:val="Footnote Text Char"/>
    <w:link w:val="1220"/>
    <w:uiPriority w:val="99"/>
    <w:rPr>
      <w:sz w:val="18"/>
    </w:rPr>
  </w:style>
  <w:style w:type="character" w:styleId="1222">
    <w:name w:val="footnote reference"/>
    <w:uiPriority w:val="99"/>
    <w:unhideWhenUsed/>
    <w:rPr>
      <w:vertAlign w:val="superscript"/>
    </w:rPr>
  </w:style>
  <w:style w:type="paragraph" w:styleId="1223">
    <w:name w:val="endnote text"/>
    <w:basedOn w:val="1237"/>
    <w:link w:val="1224"/>
    <w:uiPriority w:val="99"/>
    <w:semiHidden/>
    <w:unhideWhenUsed/>
    <w:pPr>
      <w:spacing w:after="0" w:line="240" w:lineRule="auto"/>
    </w:pPr>
    <w:rPr>
      <w:sz w:val="20"/>
    </w:rPr>
  </w:style>
  <w:style w:type="character" w:styleId="1224">
    <w:name w:val="Endnote Text Char"/>
    <w:link w:val="1223"/>
    <w:uiPriority w:val="99"/>
    <w:rPr>
      <w:sz w:val="20"/>
    </w:rPr>
  </w:style>
  <w:style w:type="character" w:styleId="1225">
    <w:name w:val="endnote reference"/>
    <w:uiPriority w:val="99"/>
    <w:semiHidden/>
    <w:unhideWhenUsed/>
    <w:rPr>
      <w:vertAlign w:val="superscript"/>
    </w:rPr>
  </w:style>
  <w:style w:type="paragraph" w:styleId="1226">
    <w:name w:val="toc 1"/>
    <w:basedOn w:val="1237"/>
    <w:next w:val="1237"/>
    <w:uiPriority w:val="39"/>
    <w:unhideWhenUsed/>
    <w:pPr>
      <w:ind w:left="0" w:right="0" w:firstLine="0"/>
      <w:spacing w:after="57"/>
    </w:pPr>
  </w:style>
  <w:style w:type="paragraph" w:styleId="1227">
    <w:name w:val="toc 2"/>
    <w:basedOn w:val="1237"/>
    <w:next w:val="1237"/>
    <w:uiPriority w:val="39"/>
    <w:unhideWhenUsed/>
    <w:pPr>
      <w:ind w:left="283" w:right="0" w:firstLine="0"/>
      <w:spacing w:after="57"/>
    </w:pPr>
  </w:style>
  <w:style w:type="paragraph" w:styleId="1228">
    <w:name w:val="toc 3"/>
    <w:basedOn w:val="1237"/>
    <w:next w:val="1237"/>
    <w:uiPriority w:val="39"/>
    <w:unhideWhenUsed/>
    <w:pPr>
      <w:ind w:left="567" w:right="0" w:firstLine="0"/>
      <w:spacing w:after="57"/>
    </w:pPr>
  </w:style>
  <w:style w:type="paragraph" w:styleId="1229">
    <w:name w:val="toc 4"/>
    <w:basedOn w:val="1237"/>
    <w:next w:val="1237"/>
    <w:uiPriority w:val="39"/>
    <w:unhideWhenUsed/>
    <w:pPr>
      <w:ind w:left="850" w:right="0" w:firstLine="0"/>
      <w:spacing w:after="57"/>
    </w:pPr>
  </w:style>
  <w:style w:type="paragraph" w:styleId="1230">
    <w:name w:val="toc 5"/>
    <w:basedOn w:val="1237"/>
    <w:next w:val="1237"/>
    <w:uiPriority w:val="39"/>
    <w:unhideWhenUsed/>
    <w:pPr>
      <w:ind w:left="1134" w:right="0" w:firstLine="0"/>
      <w:spacing w:after="57"/>
    </w:pPr>
  </w:style>
  <w:style w:type="paragraph" w:styleId="1231">
    <w:name w:val="toc 6"/>
    <w:basedOn w:val="1237"/>
    <w:next w:val="1237"/>
    <w:uiPriority w:val="39"/>
    <w:unhideWhenUsed/>
    <w:pPr>
      <w:ind w:left="1417" w:right="0" w:firstLine="0"/>
      <w:spacing w:after="57"/>
    </w:pPr>
  </w:style>
  <w:style w:type="paragraph" w:styleId="1232">
    <w:name w:val="toc 7"/>
    <w:basedOn w:val="1237"/>
    <w:next w:val="1237"/>
    <w:uiPriority w:val="39"/>
    <w:unhideWhenUsed/>
    <w:pPr>
      <w:ind w:left="1701" w:right="0" w:firstLine="0"/>
      <w:spacing w:after="57"/>
    </w:pPr>
  </w:style>
  <w:style w:type="paragraph" w:styleId="1233">
    <w:name w:val="toc 8"/>
    <w:basedOn w:val="1237"/>
    <w:next w:val="1237"/>
    <w:uiPriority w:val="39"/>
    <w:unhideWhenUsed/>
    <w:pPr>
      <w:ind w:left="1984" w:right="0" w:firstLine="0"/>
      <w:spacing w:after="57"/>
    </w:pPr>
  </w:style>
  <w:style w:type="paragraph" w:styleId="1234">
    <w:name w:val="toc 9"/>
    <w:basedOn w:val="1237"/>
    <w:next w:val="1237"/>
    <w:uiPriority w:val="39"/>
    <w:unhideWhenUsed/>
    <w:pPr>
      <w:ind w:left="2268" w:right="0" w:firstLine="0"/>
      <w:spacing w:after="57"/>
    </w:pPr>
  </w:style>
  <w:style w:type="paragraph" w:styleId="1235">
    <w:name w:val="TOC Heading"/>
    <w:uiPriority w:val="39"/>
    <w:unhideWhenUsed/>
  </w:style>
  <w:style w:type="paragraph" w:styleId="1236">
    <w:name w:val="table of figures"/>
    <w:basedOn w:val="1237"/>
    <w:next w:val="1237"/>
    <w:uiPriority w:val="99"/>
    <w:unhideWhenUsed/>
    <w:pPr>
      <w:spacing w:after="0" w:afterAutospacing="0"/>
    </w:pPr>
  </w:style>
  <w:style w:type="paragraph" w:styleId="1237" w:default="1">
    <w:name w:val="Normal"/>
    <w:qFormat/>
  </w:style>
  <w:style w:type="table" w:styleId="12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39" w:default="1">
    <w:name w:val="No List"/>
    <w:uiPriority w:val="99"/>
    <w:semiHidden/>
    <w:unhideWhenUsed/>
  </w:style>
  <w:style w:type="paragraph" w:styleId="1240">
    <w:name w:val="No Spacing"/>
    <w:basedOn w:val="1237"/>
    <w:uiPriority w:val="1"/>
    <w:qFormat/>
    <w:pPr>
      <w:spacing w:after="0" w:line="240" w:lineRule="auto"/>
    </w:pPr>
  </w:style>
  <w:style w:type="paragraph" w:styleId="1241">
    <w:name w:val="List Paragraph"/>
    <w:basedOn w:val="1237"/>
    <w:uiPriority w:val="34"/>
    <w:qFormat/>
    <w:pPr>
      <w:contextualSpacing/>
      <w:ind w:left="720"/>
    </w:pPr>
  </w:style>
  <w:style w:type="character" w:styleId="124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2025-01-10T14:59:56Z</dcterms:modified>
</cp:coreProperties>
</file>